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>
        <w:rPr>
          <w:b/>
          <w:sz w:val="28"/>
          <w:szCs w:val="28"/>
          <w:u w:val="single"/>
        </w:rPr>
        <w:t>Основные изменения в налогообложении имущества</w:t>
      </w:r>
      <w:bookmarkEnd w:id="0"/>
      <w:r>
        <w:rPr>
          <w:b/>
          <w:sz w:val="28"/>
          <w:szCs w:val="28"/>
          <w:u w:val="single"/>
        </w:rPr>
        <w:t xml:space="preserve">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уведомления, направляемые в 2026 г., содержат расчет налогов на имущество физических лиц за налоговый период 2025 года. При этом по сравнению с предыдущим налоговым периодом произошли следующие основные изменения.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от уплаты налога освобождены ветераны боевых действий, участники СВО и члены их семей, указанные в подпунктах 9.1 – 9.5 пункта 1 статьи 407 НК РФ (льгота предоставляется в отношении одного транспортного средства по выбору налогоплательщика за исключением легковых автомобилей, сумма налога в отношении которых исчисляется с учетом повышающего коэффициента, а также водных (кроме моторных лодок) и воздушных транспортных средств);</w:t>
      </w:r>
      <w:proofErr w:type="gramEnd"/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5" w:history="1">
        <w:r>
          <w:rPr>
            <w:rStyle w:val="a3"/>
            <w:sz w:val="28"/>
            <w:szCs w:val="28"/>
          </w:rPr>
          <w:t>https://minpromtorg.gov.ru/docs/list/?pdfModalID=4b5f6f32-79e2-4106-8581-168f95459159</w:t>
        </w:r>
      </w:hyperlink>
      <w:r>
        <w:rPr>
          <w:sz w:val="28"/>
          <w:szCs w:val="28"/>
        </w:rPr>
        <w:t xml:space="preserve">) легковых автомобилей средней стоимостью от 10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руб. на 2025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налоговый вычет (уменьшение налоговой базы земельного участка на величину кадастровой стоимости 600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 площади данного земельного участка) предоставлен участникам СВО и членам их семей, указанных в подпунктах 9.1 – 9.5 пункта 1 статьи 407 НК РФ;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земельных участков,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при исчисления налога использован коэффициент 10-типроцентного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9" w:history="1">
        <w:proofErr w:type="spellStart"/>
        <w:r>
          <w:rPr>
            <w:rStyle w:val="a3"/>
            <w:color w:val="auto"/>
            <w:sz w:val="28"/>
            <w:szCs w:val="28"/>
            <w:u w:val="none"/>
          </w:rPr>
          <w:t>абз</w:t>
        </w:r>
        <w:proofErr w:type="spellEnd"/>
        <w:r>
          <w:rPr>
            <w:rStyle w:val="a3"/>
            <w:color w:val="auto"/>
            <w:sz w:val="28"/>
            <w:szCs w:val="28"/>
            <w:u w:val="none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расположенных в таких объектах налогообложения); </w:t>
      </w:r>
      <w:proofErr w:type="gramEnd"/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освобождены от уплаты налога физические лица – в отношении объектов налогообложения, расположенных на территории, на которой в соответствии с законодательством Российской Федерации введены режимы ЧП, ЧС или КТО и в отношении жителей принято решение о временном отселении (эвакуации);</w:t>
      </w:r>
    </w:p>
    <w:p w:rsidR="003239A9" w:rsidRDefault="003239A9" w:rsidP="003239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2A"/>
    <w:rsid w:val="000C1E39"/>
    <w:rsid w:val="0014272A"/>
    <w:rsid w:val="003239A9"/>
    <w:rsid w:val="003F32FC"/>
    <w:rsid w:val="00A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A9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39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9A9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3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inpromtorg.gov.ru/docs/list/?pdfModalID=4b5f6f32-79e2-4106-8581-168f95459159" TargetMode="External"/><Relationship Id="rId10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4424C86A700C56DB049752E2E5FDCF0DDC33DA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2</cp:revision>
  <dcterms:created xsi:type="dcterms:W3CDTF">2026-09-14T00:39:00Z</dcterms:created>
  <dcterms:modified xsi:type="dcterms:W3CDTF">2026-09-14T00:39:00Z</dcterms:modified>
</cp:coreProperties>
</file>