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Изменения в порядке получения налоговых уведомлений</w:t>
      </w:r>
    </w:p>
    <w:p w14:paraId="02000000">
      <w:pPr>
        <w:widowControl w:val="1"/>
        <w:spacing w:after="0" w:line="240" w:lineRule="auto"/>
        <w:ind w:firstLine="709" w:left="0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3000000">
      <w:pPr>
        <w:widowControl w:val="1"/>
        <w:spacing w:after="0" w:line="240" w:lineRule="auto"/>
        <w:ind w:firstLine="709" w:left="0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 xml:space="preserve">В соответствии с изменениями, внесенными </w:t>
      </w:r>
      <w:r>
        <w:rPr>
          <w:rFonts w:ascii="Times New Roman" w:hAnsi="Times New Roman"/>
          <w:b w:val="0"/>
          <w:color w:val="000000"/>
          <w:sz w:val="28"/>
          <w:u w:val="none"/>
        </w:rPr>
        <w:t>в статью 52 Налогового кодекса Российской Федерации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Федеральным </w:t>
      </w:r>
      <w:r>
        <w:rPr>
          <w:rFonts w:ascii="Times New Roman" w:hAnsi="Times New Roman"/>
          <w:b w:val="0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b w:val="0"/>
          <w:color w:val="000000"/>
          <w:sz w:val="28"/>
          <w:u w:val="none"/>
        </w:rPr>
        <w:instrText>HYPERLINK "https://www.consultant.ru/document/cons_doc_LAW_537936/"</w:instrText>
      </w:r>
      <w:r>
        <w:rPr>
          <w:rFonts w:ascii="Times New Roman" w:hAnsi="Times New Roman"/>
          <w:b w:val="0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b w:val="0"/>
          <w:color w:val="000000"/>
          <w:sz w:val="28"/>
          <w:u w:val="none"/>
        </w:rPr>
        <w:t>законом</w:t>
      </w:r>
      <w:r>
        <w:rPr>
          <w:rFonts w:ascii="Times New Roman" w:hAnsi="Times New Roman"/>
          <w:b w:val="0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b w:val="0"/>
          <w:color w:val="000000"/>
          <w:sz w:val="28"/>
          <w:u w:val="none"/>
        </w:rPr>
        <w:t> от 28.11.2025 № 425-ФЗ</w:t>
      </w:r>
      <w:r>
        <w:rPr>
          <w:rFonts w:ascii="Times New Roman" w:hAnsi="Times New Roman"/>
          <w:b w:val="0"/>
          <w:color w:val="000000"/>
          <w:u w:val="none"/>
        </w:rPr>
        <w:t xml:space="preserve"> «</w:t>
      </w:r>
      <w:r>
        <w:rPr>
          <w:rFonts w:ascii="Times New Roman" w:hAnsi="Times New Roman"/>
          <w:b w:val="0"/>
          <w:color w:val="000000"/>
          <w:u w:val="none"/>
        </w:rPr>
        <w:t xml:space="preserve"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с 01.08.2026 скорректирован </w:t>
      </w:r>
      <w:r>
        <w:rPr>
          <w:rFonts w:ascii="Times New Roman" w:hAnsi="Times New Roman"/>
          <w:b w:val="0"/>
          <w:color w:val="000000"/>
          <w:sz w:val="28"/>
          <w:u w:val="none"/>
        </w:rPr>
        <w:t> </w:t>
      </w:r>
      <w:r>
        <w:rPr>
          <w:rFonts w:ascii="Times New Roman" w:hAnsi="Times New Roman"/>
          <w:b w:val="0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b w:val="0"/>
          <w:color w:val="000000"/>
          <w:sz w:val="28"/>
          <w:u w:val="none"/>
        </w:rPr>
        <w:instrText>HYPERLINK "https://www.consultant.ru/document/cons_doc_LAW_519035/bbc7b0201b7be7a79e0b44464f1f2fa071d9a774/#dst7073"</w:instrText>
      </w:r>
      <w:r>
        <w:rPr>
          <w:rFonts w:ascii="Times New Roman" w:hAnsi="Times New Roman"/>
          <w:b w:val="0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b w:val="0"/>
          <w:color w:val="000000"/>
          <w:sz w:val="28"/>
          <w:u w:val="none"/>
        </w:rPr>
        <w:t>порядок</w:t>
      </w:r>
      <w:r>
        <w:rPr>
          <w:rFonts w:ascii="Times New Roman" w:hAnsi="Times New Roman"/>
          <w:b w:val="0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 получения налоговых уведомлений для уплаты физическими лицами налогов на имущество и НДФЛ через единый портал </w:t>
      </w:r>
      <w:r>
        <w:rPr>
          <w:rFonts w:ascii="Times New Roman" w:hAnsi="Times New Roman"/>
          <w:b w:val="0"/>
          <w:color w:val="000000"/>
          <w:sz w:val="28"/>
          <w:u w:val="none"/>
        </w:rPr>
        <w:t>госуслуг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(ЕПГУ).</w:t>
      </w:r>
    </w:p>
    <w:p w14:paraId="04000000">
      <w:pPr>
        <w:widowControl w:val="1"/>
        <w:spacing w:after="0" w:line="240" w:lineRule="auto"/>
        <w:ind w:firstLine="709" w:left="0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color w:val="000000"/>
          <w:sz w:val="28"/>
        </w:rPr>
        <w:t>Налоговые уведомления будут передаваться налоговыми органами через личный кабинет на ЕПГУ</w:t>
      </w:r>
      <w:r>
        <w:rPr>
          <w:rFonts w:ascii="Times New Roman" w:hAnsi="Times New Roman"/>
          <w:color w:val="000000"/>
          <w:sz w:val="28"/>
        </w:rPr>
        <w:t xml:space="preserve"> всем налогоплательщикам - физическим лицам,  зарегистрированным в ЕПГУ.</w:t>
      </w:r>
    </w:p>
    <w:p w14:paraId="05000000">
      <w:pPr>
        <w:widowControl w:val="1"/>
        <w:spacing w:after="0" w:line="240" w:lineRule="auto"/>
        <w:ind w:firstLine="709" w:left="0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color w:val="000000"/>
          <w:sz w:val="28"/>
        </w:rPr>
        <w:t>Граждане освобождены от обязанности подписывать и предварительно направлять в налоговый орган уведомление о необходимости получения документов (сведений), содержащих налоговую тайну, от налоговых органов через личный кабинет на ЕПГУ. Исключ</w:t>
      </w:r>
      <w:r>
        <w:rPr>
          <w:rFonts w:ascii="Times New Roman" w:hAnsi="Times New Roman"/>
          <w:color w:val="000000"/>
          <w:sz w:val="28"/>
        </w:rPr>
        <w:t xml:space="preserve">ением являются ситуации, когда налогоплательщик через ЕПГУ написал отказ от получения документов на портале </w:t>
      </w:r>
      <w:r>
        <w:rPr>
          <w:rFonts w:ascii="Times New Roman" w:hAnsi="Times New Roman"/>
          <w:color w:val="000000"/>
          <w:sz w:val="28"/>
        </w:rPr>
        <w:t>госуслуг</w:t>
      </w:r>
      <w:r>
        <w:rPr>
          <w:rFonts w:ascii="Times New Roman" w:hAnsi="Times New Roman"/>
          <w:color w:val="000000"/>
          <w:sz w:val="28"/>
        </w:rPr>
        <w:t xml:space="preserve"> (подал уведомление о прекращении получения документов от налоговых органов через ЛК ЕПГУ). В таком случае налоговые уведомления будут приходить по почте или через личный кабинет налогоплательщика.</w:t>
      </w:r>
    </w:p>
    <w:p w14:paraId="06000000">
      <w:pPr>
        <w:widowControl w:val="1"/>
        <w:spacing w:after="0" w:line="240" w:lineRule="auto"/>
        <w:ind w:firstLine="709" w:left="0"/>
        <w:rPr>
          <w:rFonts w:ascii="Times New Roman" w:hAnsi="Times New Roman"/>
          <w:b w:val="0"/>
          <w:color w:val="000000"/>
          <w:u w:val="none"/>
        </w:rPr>
      </w:pPr>
      <w:r>
        <w:rPr>
          <w:rFonts w:ascii="Times New Roman" w:hAnsi="Times New Roman"/>
          <w:color w:val="000000"/>
          <w:sz w:val="28"/>
        </w:rPr>
        <w:t>Как и прежде, налогоплательщик независимо от порядка направления налогового уведомления дополнительно имеет право обратиться в любой налоговый орган, обслуживающий граждан, и (или) в уполномоченный МФЦ и получить там налоговое уведомление на бумаге не позднее пяти рабочих дней. Для этого действует форма заявления о выдаче налогового уведомления.</w:t>
      </w:r>
    </w:p>
    <w:p w14:paraId="07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</w:p>
    <w:p w14:paraId="08000000">
      <w:pPr>
        <w:widowControl w:val="1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sectPr>
      <w:pgSz w:h="16848" w:orient="portrait" w:w="11908"/>
      <w:pgMar w:bottom="1134" w:left="1134" w:right="56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2026-07-29T07:20:30Z</dcterms:created>
  <dcterms:modified xsi:type="dcterms:W3CDTF">2026-09-18T06:43:44Z</dcterms:modified>
</cp:coreProperties>
</file>